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555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网上立案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注意事项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tabs>
          <w:tab w:val="left" w:pos="312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1.起诉材料的提交要规范。</w:t>
      </w:r>
      <w:r>
        <w:rPr>
          <w:rFonts w:hint="eastAsia" w:ascii="仿宋_GB2312" w:eastAsia="仿宋_GB2312"/>
          <w:sz w:val="32"/>
          <w:szCs w:val="32"/>
        </w:rPr>
        <w:t>申请网上立案提交诉状、证据等材料，应该客观、真实、准确、全面，要规范、按顺序上传至山东省法院电子诉讼服务平台。上传时，应使用扫描仪扫描上传文本（JPG或PDF），不能简单地上传手机照片。采用彩色扫描，分辨率不低于300dpi，图片格式为JPG或PDF。扫描上传件应当清晰、完整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条件律师事务所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ascii="仿宋_GB2312" w:hAnsi="仿宋_GB2312" w:eastAsia="仿宋_GB2312" w:cs="仿宋_GB2312"/>
          <w:sz w:val="32"/>
          <w:szCs w:val="32"/>
        </w:rPr>
        <w:t>配备网上立</w:t>
      </w:r>
      <w:r>
        <w:rPr>
          <w:rFonts w:hint="eastAsia" w:ascii="仿宋_GB2312" w:hAnsi="仿宋_GB2312" w:eastAsia="仿宋_GB2312" w:cs="仿宋_GB2312"/>
          <w:sz w:val="32"/>
          <w:szCs w:val="32"/>
        </w:rPr>
        <w:t>案</w:t>
      </w:r>
      <w:r>
        <w:rPr>
          <w:rFonts w:ascii="仿宋_GB2312" w:hAnsi="仿宋_GB2312" w:eastAsia="仿宋_GB2312" w:cs="仿宋_GB2312"/>
          <w:sz w:val="32"/>
          <w:szCs w:val="32"/>
        </w:rPr>
        <w:t>终端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外网电脑、高拍仪、扫描仪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ascii="仿宋_GB2312" w:hAnsi="仿宋_GB2312" w:eastAsia="仿宋_GB2312" w:cs="仿宋_GB2312"/>
          <w:sz w:val="32"/>
          <w:szCs w:val="32"/>
        </w:rPr>
        <w:t>代理案件需要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ascii="仿宋_GB2312" w:hAnsi="仿宋_GB2312" w:eastAsia="仿宋_GB2312" w:cs="仿宋_GB2312"/>
          <w:sz w:val="32"/>
          <w:szCs w:val="32"/>
        </w:rPr>
        <w:t>上立案的，尽可能在律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的终端办理。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虽然法院</w:t>
      </w:r>
      <w:r>
        <w:rPr>
          <w:rFonts w:ascii="仿宋_GB2312" w:hAnsi="仿宋_GB2312" w:eastAsia="仿宋_GB2312" w:cs="仿宋_GB2312"/>
          <w:sz w:val="32"/>
          <w:szCs w:val="32"/>
        </w:rPr>
        <w:t>在立</w:t>
      </w:r>
      <w:r>
        <w:rPr>
          <w:rFonts w:hint="eastAsia" w:ascii="仿宋_GB2312" w:hAnsi="仿宋_GB2312" w:eastAsia="仿宋_GB2312" w:cs="仿宋_GB2312"/>
          <w:sz w:val="32"/>
          <w:szCs w:val="32"/>
        </w:rPr>
        <w:t>案</w:t>
      </w:r>
      <w:r>
        <w:rPr>
          <w:rFonts w:ascii="仿宋_GB2312" w:hAnsi="仿宋_GB2312" w:eastAsia="仿宋_GB2312" w:cs="仿宋_GB2312"/>
          <w:sz w:val="32"/>
          <w:szCs w:val="32"/>
        </w:rPr>
        <w:t>大厅配备了网上立案终端，也有导诉员，但有限的资源尽量给没有代理人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，不能够熟练进行网上立案</w:t>
      </w:r>
      <w:r>
        <w:rPr>
          <w:rFonts w:ascii="仿宋_GB2312" w:hAnsi="仿宋_GB2312" w:eastAsia="仿宋_GB2312" w:cs="仿宋_GB2312"/>
          <w:sz w:val="32"/>
          <w:szCs w:val="32"/>
        </w:rPr>
        <w:t>的当事人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一方或双方当事人为法人单位或其他经济组织的，必须提供工商登记信息（网站下载打印或到工商部门调取）。申请网上立案时的当事人人数、信息要与诉状一致。纸质材料与电子材料内容要一致。当事人的信息（公民身份证号码、电话号码、统一社会信用代码）要填写齐全，不能简单地填写“0”。证据材料的页码要连续，不能只上传首页和尾页，中间页码不能缺。证据过多的应提交证据清单，证据与之对应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ascii="仿宋_GB2312" w:hAnsi="仿宋_GB2312" w:eastAsia="仿宋_GB2312" w:cs="仿宋_GB2312"/>
          <w:sz w:val="32"/>
          <w:szCs w:val="32"/>
        </w:rPr>
        <w:t>时注意核对提交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申请的</w:t>
      </w:r>
      <w:r>
        <w:rPr>
          <w:rFonts w:ascii="仿宋_GB2312" w:hAnsi="仿宋_GB2312" w:eastAsia="仿宋_GB2312" w:cs="仿宋_GB2312"/>
          <w:sz w:val="32"/>
          <w:szCs w:val="32"/>
        </w:rPr>
        <w:t>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选择的程序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是否正确</w:t>
      </w:r>
      <w:r>
        <w:rPr>
          <w:rFonts w:hint="eastAsia" w:ascii="仿宋_GB2312" w:hAnsi="仿宋_GB2312" w:eastAsia="仿宋_GB2312" w:cs="仿宋_GB2312"/>
          <w:sz w:val="32"/>
          <w:szCs w:val="32"/>
        </w:rPr>
        <w:t>（例如撤销仲裁裁决案件应选择“民事特别”模块立案）。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2.诉讼请求需明确。</w:t>
      </w:r>
      <w:r>
        <w:rPr>
          <w:rFonts w:hint="eastAsia" w:ascii="仿宋_GB2312" w:eastAsia="仿宋_GB2312"/>
          <w:sz w:val="32"/>
          <w:szCs w:val="32"/>
        </w:rPr>
        <w:t>请求中主张利息的，数额要具体，并附上计算方式。请求协助办理过户手续的，应写明标的物价格；离婚案件中请求分割财产的，也应写明财产价格。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3.送达地址确认书真实有效。</w:t>
      </w:r>
      <w:r>
        <w:rPr>
          <w:rFonts w:hint="eastAsia" w:ascii="仿宋_GB2312" w:eastAsia="仿宋_GB2312"/>
          <w:sz w:val="32"/>
          <w:szCs w:val="32"/>
        </w:rPr>
        <w:t>应填写当事人送达地址和联系方式，不能仅填写律师事务所或法律服务所地址及律师的联系方式。仅可能勾选同意电子方式送达，</w:t>
      </w:r>
      <w:r>
        <w:rPr>
          <w:rFonts w:ascii="仿宋_GB2312" w:hAnsi="仿宋_GB2312" w:eastAsia="仿宋_GB2312" w:cs="仿宋_GB2312"/>
          <w:sz w:val="32"/>
          <w:szCs w:val="32"/>
        </w:rPr>
        <w:t>并完整如实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填写接收</w:t>
      </w:r>
      <w:r>
        <w:rPr>
          <w:rFonts w:ascii="仿宋_GB2312" w:hAnsi="仿宋_GB2312" w:eastAsia="仿宋_GB2312" w:cs="仿宋_GB2312"/>
          <w:sz w:val="32"/>
          <w:szCs w:val="32"/>
        </w:rPr>
        <w:t>信息的电话号码、邮箱地址、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ascii="仿宋_GB2312" w:hAnsi="仿宋_GB2312" w:eastAsia="仿宋_GB2312" w:cs="仿宋_GB2312"/>
          <w:sz w:val="32"/>
          <w:szCs w:val="32"/>
        </w:rPr>
        <w:t>号等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ascii="仿宋_GB2312" w:hAnsi="仿宋_GB2312" w:eastAsia="仿宋_GB2312" w:cs="仿宋_GB2312"/>
          <w:sz w:val="32"/>
          <w:szCs w:val="32"/>
        </w:rPr>
        <w:t>网上接收和查看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受理案件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ascii="仿宋_GB2312" w:hAnsi="仿宋_GB2312" w:eastAsia="仿宋_GB2312" w:cs="仿宋_GB2312"/>
          <w:sz w:val="32"/>
          <w:szCs w:val="32"/>
        </w:rPr>
        <w:t>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、传票等</w:t>
      </w:r>
      <w:r>
        <w:rPr>
          <w:rFonts w:ascii="仿宋_GB2312" w:hAnsi="仿宋_GB2312" w:eastAsia="仿宋_GB2312" w:cs="仿宋_GB2312"/>
          <w:sz w:val="32"/>
          <w:szCs w:val="32"/>
        </w:rPr>
        <w:t>法律文书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送达地址发生变化</w:t>
      </w:r>
      <w:r>
        <w:rPr>
          <w:rFonts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及时告知法院。</w:t>
      </w:r>
    </w:p>
    <w:p>
      <w:pPr>
        <w:pStyle w:val="5"/>
        <w:tabs>
          <w:tab w:val="left" w:pos="312"/>
        </w:tabs>
        <w:spacing w:before="75" w:beforeAutospacing="0" w:after="75" w:afterAutospacing="0" w:line="560" w:lineRule="exact"/>
        <w:ind w:firstLine="630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4.执行、保全类立案。</w:t>
      </w:r>
      <w:r>
        <w:rPr>
          <w:rFonts w:hint="eastAsia" w:ascii="仿宋_GB2312" w:eastAsia="仿宋_GB2312"/>
          <w:sz w:val="32"/>
          <w:szCs w:val="32"/>
        </w:rPr>
        <w:t>保全类案件不要与民事一审案件一并提起。诉前财产保全需提供财产即将灭失的证据。诉中保全的案件在一审民商事案件产生案号后再行提起。诉讼保全需提供的材料有：保全申请书、保担保函、财产线索。申请执行立案时，若有保全，需提交保全裁定、协助执行通知书和财产线索，申请书需计算执行标的总额。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5.诉前调解工作。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对适宜调解的民商事案件，应尽</w:t>
      </w:r>
      <w:r>
        <w:rPr>
          <w:rFonts w:ascii="仿宋_GB2312" w:hAnsi="仿宋_GB2312" w:eastAsia="仿宋_GB2312" w:cs="仿宋_GB2312"/>
          <w:sz w:val="32"/>
          <w:szCs w:val="32"/>
        </w:rPr>
        <w:t>量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引导当事人优先采用诉前调解的方式解决纠纷，并指导</w:t>
      </w:r>
      <w:r>
        <w:rPr>
          <w:rFonts w:ascii="仿宋_GB2312" w:hAnsi="仿宋_GB2312" w:eastAsia="仿宋_GB2312" w:cs="仿宋_GB2312"/>
          <w:sz w:val="32"/>
          <w:szCs w:val="32"/>
        </w:rPr>
        <w:t>当事人下载相关手机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APP或</w:t>
      </w:r>
      <w:r>
        <w:rPr>
          <w:rFonts w:ascii="仿宋_GB2312" w:hAnsi="仿宋_GB2312" w:eastAsia="仿宋_GB2312" w:cs="仿宋_GB2312"/>
          <w:sz w:val="32"/>
          <w:szCs w:val="32"/>
        </w:rPr>
        <w:t>登录人民法院调解平台线上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查</w:t>
      </w:r>
      <w:r>
        <w:rPr>
          <w:rFonts w:ascii="仿宋_GB2312" w:hAnsi="仿宋_GB2312" w:eastAsia="仿宋_GB2312" w:cs="仿宋_GB2312"/>
          <w:sz w:val="32"/>
          <w:szCs w:val="32"/>
        </w:rPr>
        <w:t>看案件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材料，配合法院、调解组织、调解员开</w:t>
      </w:r>
      <w:r>
        <w:rPr>
          <w:rFonts w:ascii="仿宋_GB2312" w:hAnsi="仿宋_GB2312" w:eastAsia="仿宋_GB2312" w:cs="仿宋_GB2312"/>
          <w:sz w:val="32"/>
          <w:szCs w:val="32"/>
        </w:rPr>
        <w:t>展线上调解。</w:t>
      </w:r>
    </w:p>
    <w:p>
      <w:pPr>
        <w:tabs>
          <w:tab w:val="left" w:pos="312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6.电子阅卷。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通过网</w:t>
      </w:r>
      <w:r>
        <w:rPr>
          <w:rFonts w:ascii="仿宋_GB2312" w:hAnsi="仿宋_GB2312" w:eastAsia="仿宋_GB2312" w:cs="仿宋_GB2312"/>
          <w:sz w:val="32"/>
          <w:szCs w:val="32"/>
        </w:rPr>
        <w:t>上申请立案的案件，当事人或其代理人可以在山东法院电子诉讼平台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ascii="仿宋_GB2312" w:hAnsi="仿宋_GB2312" w:eastAsia="仿宋_GB2312" w:cs="仿宋_GB2312"/>
          <w:sz w:val="32"/>
          <w:szCs w:val="32"/>
        </w:rPr>
        <w:t>互联网阅卷</w:t>
      </w:r>
      <w:r>
        <w:rPr>
          <w:rFonts w:hint="eastAsia" w:ascii="仿宋_GB2312" w:hAnsi="仿宋_GB2312" w:eastAsia="仿宋_GB2312" w:cs="仿宋_GB2312"/>
          <w:sz w:val="32"/>
          <w:szCs w:val="32"/>
        </w:rPr>
        <w:t>，律师申请电子阅卷的，需提供当事人出具的阅卷授权委托书并附所函与执业证复印件。无法</w:t>
      </w:r>
      <w:r>
        <w:rPr>
          <w:rFonts w:ascii="仿宋_GB2312" w:hAnsi="仿宋_GB2312" w:eastAsia="仿宋_GB2312" w:cs="仿宋_GB2312"/>
          <w:sz w:val="32"/>
          <w:szCs w:val="32"/>
        </w:rPr>
        <w:t>通过网上阅卷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，可携带相关手续到诉讼服务大厅电子阅卷，可提供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</w:t>
      </w:r>
      <w:r>
        <w:rPr>
          <w:rFonts w:ascii="仿宋_GB2312" w:hAnsi="仿宋_GB2312" w:eastAsia="仿宋_GB2312" w:cs="仿宋_GB2312"/>
          <w:sz w:val="32"/>
          <w:szCs w:val="32"/>
        </w:rPr>
        <w:t>、刻录光盘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</w:t>
      </w:r>
      <w:r>
        <w:rPr>
          <w:rFonts w:ascii="仿宋_GB2312" w:hAnsi="仿宋_GB2312" w:eastAsia="仿宋_GB2312" w:cs="仿宋_GB2312"/>
          <w:sz w:val="32"/>
          <w:szCs w:val="32"/>
        </w:rPr>
        <w:t>家尽量接受电子复制）。</w:t>
      </w:r>
    </w:p>
    <w:p>
      <w:pPr>
        <w:pStyle w:val="5"/>
        <w:tabs>
          <w:tab w:val="left" w:pos="312"/>
        </w:tabs>
        <w:spacing w:before="75" w:beforeAutospacing="0" w:after="75" w:afterAutospacing="0" w:line="560" w:lineRule="exact"/>
        <w:ind w:firstLine="630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7.12368诉讼服务热线</w:t>
      </w:r>
      <w:r>
        <w:rPr>
          <w:rFonts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咨询查询</w:t>
      </w:r>
      <w:r>
        <w:rPr>
          <w:rFonts w:ascii="仿宋_GB2312" w:hAnsi="仿宋_GB2312" w:eastAsia="仿宋_GB2312" w:cs="仿宋_GB2312"/>
          <w:sz w:val="32"/>
          <w:szCs w:val="32"/>
        </w:rPr>
        <w:t>案件承办人、办理流程、案件节点等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ascii="仿宋_GB2312" w:hAnsi="仿宋_GB2312" w:eastAsia="仿宋_GB2312" w:cs="仿宋_GB2312"/>
          <w:sz w:val="32"/>
          <w:szCs w:val="32"/>
        </w:rPr>
        <w:t>可通过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12368办理，向</w:t>
      </w:r>
      <w:r>
        <w:rPr>
          <w:rFonts w:ascii="仿宋_GB2312" w:hAnsi="仿宋_GB2312" w:eastAsia="仿宋_GB2312" w:cs="仿宋_GB2312"/>
          <w:sz w:val="32"/>
          <w:szCs w:val="32"/>
        </w:rPr>
        <w:t>法官提交材料可通过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诉讼</w:t>
      </w:r>
      <w:r>
        <w:rPr>
          <w:rFonts w:ascii="仿宋_GB2312" w:hAnsi="仿宋_GB2312" w:eastAsia="仿宋_GB2312" w:cs="仿宋_GB2312"/>
          <w:sz w:val="32"/>
          <w:szCs w:val="32"/>
        </w:rPr>
        <w:t>服务大厅的材料转接窗口办理，但应提供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准确的</w:t>
      </w:r>
      <w:r>
        <w:rPr>
          <w:rFonts w:ascii="仿宋_GB2312" w:hAnsi="仿宋_GB2312" w:eastAsia="仿宋_GB2312" w:cs="仿宋_GB2312"/>
          <w:sz w:val="32"/>
          <w:szCs w:val="32"/>
        </w:rPr>
        <w:t>案号、当事人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</w:t>
      </w:r>
      <w:r>
        <w:rPr>
          <w:rFonts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案件承办法官等信息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5"/>
    <w:rsid w:val="00121C3C"/>
    <w:rsid w:val="001B2978"/>
    <w:rsid w:val="001F5E0B"/>
    <w:rsid w:val="002A4899"/>
    <w:rsid w:val="00397B9B"/>
    <w:rsid w:val="003C474C"/>
    <w:rsid w:val="00465D00"/>
    <w:rsid w:val="004E5BA7"/>
    <w:rsid w:val="0057382D"/>
    <w:rsid w:val="00616380"/>
    <w:rsid w:val="00875595"/>
    <w:rsid w:val="00877CA8"/>
    <w:rsid w:val="00897240"/>
    <w:rsid w:val="009F1A4C"/>
    <w:rsid w:val="00A16B1F"/>
    <w:rsid w:val="00AF38C3"/>
    <w:rsid w:val="00BB4CD0"/>
    <w:rsid w:val="00BD254A"/>
    <w:rsid w:val="00BE48AD"/>
    <w:rsid w:val="00BF2ACC"/>
    <w:rsid w:val="00C15D99"/>
    <w:rsid w:val="00C22E76"/>
    <w:rsid w:val="00CB5C89"/>
    <w:rsid w:val="00CE7E04"/>
    <w:rsid w:val="00D77018"/>
    <w:rsid w:val="00D94D3B"/>
    <w:rsid w:val="00DB5A20"/>
    <w:rsid w:val="00DC424B"/>
    <w:rsid w:val="00F272AC"/>
    <w:rsid w:val="0DD055AF"/>
    <w:rsid w:val="27405EC3"/>
    <w:rsid w:val="44C51A46"/>
    <w:rsid w:val="6E2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1044</Characters>
  <Lines>8</Lines>
  <Paragraphs>2</Paragraphs>
  <TotalTime>94</TotalTime>
  <ScaleCrop>false</ScaleCrop>
  <LinksUpToDate>false</LinksUpToDate>
  <CharactersWithSpaces>1225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2020-07-07T07:58:00Z</dcterms:created>
  <dc:creator>NTKO</dc:creator>
  <cp:lastModifiedBy>Administrator</cp:lastModifiedBy>
  <dcterms:modified xsi:type="dcterms:W3CDTF">2020-07-23T08:59:56Z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